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11" w:rsidRDefault="005D0011" w:rsidP="005D0011">
      <w:pPr>
        <w:pStyle w:val="NoSpacing"/>
        <w:rPr>
          <w:b/>
          <w:sz w:val="28"/>
        </w:rPr>
      </w:pPr>
      <w:bookmarkStart w:id="0" w:name="_GoBack"/>
      <w:bookmarkEnd w:id="0"/>
    </w:p>
    <w:p w:rsidR="005D0011" w:rsidRDefault="00193D13" w:rsidP="005D0011">
      <w:pPr>
        <w:pStyle w:val="NoSpacing"/>
        <w:rPr>
          <w:b/>
          <w:sz w:val="28"/>
        </w:rPr>
      </w:pPr>
      <w:r w:rsidRPr="00372B7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1622DC" wp14:editId="6D444948">
            <wp:simplePos x="0" y="0"/>
            <wp:positionH relativeFrom="column">
              <wp:posOffset>2055191</wp:posOffset>
            </wp:positionH>
            <wp:positionV relativeFrom="paragraph">
              <wp:posOffset>152483</wp:posOffset>
            </wp:positionV>
            <wp:extent cx="2517775" cy="1780540"/>
            <wp:effectExtent l="0" t="0" r="0" b="0"/>
            <wp:wrapTight wrapText="bothSides">
              <wp:wrapPolygon edited="0">
                <wp:start x="0" y="0"/>
                <wp:lineTo x="0" y="21261"/>
                <wp:lineTo x="21409" y="21261"/>
                <wp:lineTo x="21409" y="0"/>
                <wp:lineTo x="0" y="0"/>
              </wp:wrapPolygon>
            </wp:wrapTight>
            <wp:docPr id="1" name="Picture 1" descr="C:\Users\SRevill\Downloads\Logo update no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vill\Downloads\Logo update no bor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011" w:rsidRDefault="005D0011" w:rsidP="005D0011">
      <w:pPr>
        <w:pStyle w:val="NoSpacing"/>
        <w:rPr>
          <w:b/>
          <w:sz w:val="28"/>
        </w:rPr>
      </w:pPr>
    </w:p>
    <w:p w:rsidR="005D0011" w:rsidRDefault="005D0011" w:rsidP="005D0011">
      <w:pPr>
        <w:pStyle w:val="NoSpacing"/>
        <w:rPr>
          <w:b/>
          <w:sz w:val="28"/>
        </w:rPr>
      </w:pPr>
    </w:p>
    <w:p w:rsidR="005D0011" w:rsidRDefault="005D0011" w:rsidP="005D0011">
      <w:pPr>
        <w:pStyle w:val="NoSpacing"/>
        <w:rPr>
          <w:b/>
          <w:sz w:val="28"/>
        </w:rPr>
      </w:pPr>
    </w:p>
    <w:p w:rsidR="005D0011" w:rsidRDefault="005D0011" w:rsidP="005D0011">
      <w:pPr>
        <w:pStyle w:val="NoSpacing"/>
        <w:rPr>
          <w:b/>
          <w:sz w:val="28"/>
        </w:rPr>
      </w:pPr>
    </w:p>
    <w:p w:rsidR="005D0011" w:rsidRDefault="005D0011" w:rsidP="005D0011">
      <w:pPr>
        <w:jc w:val="center"/>
        <w:rPr>
          <w:sz w:val="72"/>
        </w:rPr>
      </w:pPr>
    </w:p>
    <w:p w:rsidR="005D0011" w:rsidRDefault="005D0011" w:rsidP="005D0011">
      <w:pPr>
        <w:jc w:val="center"/>
        <w:rPr>
          <w:sz w:val="72"/>
        </w:rPr>
      </w:pPr>
    </w:p>
    <w:p w:rsidR="005D0011" w:rsidRDefault="005D0011" w:rsidP="005D0011">
      <w:pPr>
        <w:jc w:val="center"/>
        <w:rPr>
          <w:sz w:val="72"/>
        </w:rPr>
      </w:pPr>
    </w:p>
    <w:p w:rsidR="00193D13" w:rsidRPr="0096369E" w:rsidRDefault="00193D13" w:rsidP="00193D13">
      <w:pPr>
        <w:pStyle w:val="BodyText"/>
        <w:jc w:val="center"/>
        <w:rPr>
          <w:color w:val="1F497D" w:themeColor="text2"/>
          <w:sz w:val="72"/>
          <w:szCs w:val="72"/>
        </w:rPr>
      </w:pPr>
      <w:r>
        <w:rPr>
          <w:b/>
          <w:bCs/>
          <w:color w:val="1F497D" w:themeColor="tex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INTIMATE </w:t>
      </w:r>
      <w:r w:rsidR="007450EA">
        <w:rPr>
          <w:b/>
          <w:bCs/>
          <w:color w:val="1F497D" w:themeColor="tex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PERSONAL </w:t>
      </w:r>
      <w:r>
        <w:rPr>
          <w:b/>
          <w:bCs/>
          <w:color w:val="1F497D" w:themeColor="tex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CARE </w:t>
      </w:r>
      <w:r w:rsidRPr="0096369E">
        <w:rPr>
          <w:b/>
          <w:bCs/>
          <w:color w:val="1F497D" w:themeColor="tex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POLICY</w:t>
      </w: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193D13" w:rsidRDefault="00193D13" w:rsidP="00193D13">
      <w:pPr>
        <w:rPr>
          <w:rFonts w:ascii="Arial" w:hAnsi="Arial" w:cs="Arial"/>
          <w:color w:val="1F497D" w:themeColor="text2"/>
          <w:sz w:val="52"/>
        </w:rPr>
      </w:pPr>
    </w:p>
    <w:p w:rsidR="005D0011" w:rsidRPr="00193D13" w:rsidRDefault="00193D13" w:rsidP="00193D13">
      <w:pPr>
        <w:rPr>
          <w:rFonts w:ascii="Arial" w:hAnsi="Arial" w:cs="Arial"/>
          <w:color w:val="1F497D" w:themeColor="text2"/>
          <w:sz w:val="52"/>
        </w:rPr>
      </w:pPr>
      <w:r w:rsidRPr="00193D13">
        <w:rPr>
          <w:rFonts w:ascii="Arial" w:hAnsi="Arial" w:cs="Arial"/>
          <w:color w:val="1F497D" w:themeColor="text2"/>
          <w:sz w:val="52"/>
        </w:rPr>
        <w:t>September 2024</w:t>
      </w:r>
    </w:p>
    <w:p w:rsidR="00193D13" w:rsidRDefault="00193D13" w:rsidP="00193D13">
      <w:pPr>
        <w:rPr>
          <w:rFonts w:cs="Narkisim"/>
          <w:b/>
          <w:color w:val="1F497D" w:themeColor="text2"/>
          <w:sz w:val="32"/>
          <w:szCs w:val="32"/>
        </w:rPr>
      </w:pPr>
      <w:r>
        <w:rPr>
          <w:rFonts w:cs="Narkisim"/>
          <w:b/>
          <w:color w:val="1F497D" w:themeColor="text2"/>
          <w:sz w:val="32"/>
          <w:szCs w:val="32"/>
        </w:rPr>
        <w:lastRenderedPageBreak/>
        <w:t>VERSION HISTORY</w:t>
      </w:r>
    </w:p>
    <w:p w:rsidR="00193D13" w:rsidRDefault="00193D13" w:rsidP="00193D13">
      <w:pPr>
        <w:rPr>
          <w:rFonts w:cs="Narkisim"/>
          <w:b/>
          <w:color w:val="1F497D" w:themeColor="text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955"/>
        <w:gridCol w:w="4638"/>
        <w:gridCol w:w="2633"/>
      </w:tblGrid>
      <w:tr w:rsidR="00193D13" w:rsidTr="00193D13">
        <w:tc>
          <w:tcPr>
            <w:tcW w:w="1242" w:type="dxa"/>
          </w:tcPr>
          <w:p w:rsidR="00193D13" w:rsidRPr="00193D13" w:rsidRDefault="00193D13" w:rsidP="00193D13">
            <w:pPr>
              <w:rPr>
                <w:rFonts w:cs="Narkisim"/>
                <w:b/>
                <w:color w:val="1F497D" w:themeColor="text2"/>
                <w:sz w:val="24"/>
                <w:szCs w:val="24"/>
              </w:rPr>
            </w:pPr>
            <w:r w:rsidRPr="00193D13">
              <w:rPr>
                <w:rFonts w:cs="Narkisim"/>
                <w:b/>
                <w:color w:val="1F497D" w:themeColor="text2"/>
                <w:sz w:val="24"/>
                <w:szCs w:val="24"/>
              </w:rPr>
              <w:t>Date</w:t>
            </w:r>
          </w:p>
        </w:tc>
        <w:tc>
          <w:tcPr>
            <w:tcW w:w="1985" w:type="dxa"/>
          </w:tcPr>
          <w:p w:rsidR="00193D13" w:rsidRPr="00193D13" w:rsidRDefault="00193D13" w:rsidP="00193D13">
            <w:pPr>
              <w:rPr>
                <w:rFonts w:cs="Narkisim"/>
                <w:b/>
                <w:color w:val="1F497D" w:themeColor="text2"/>
                <w:sz w:val="24"/>
                <w:szCs w:val="24"/>
              </w:rPr>
            </w:pPr>
            <w:r w:rsidRPr="00193D13">
              <w:rPr>
                <w:rFonts w:cs="Narkisim"/>
                <w:b/>
                <w:color w:val="1F497D" w:themeColor="text2"/>
                <w:sz w:val="24"/>
                <w:szCs w:val="24"/>
              </w:rPr>
              <w:t>Document Version</w:t>
            </w:r>
          </w:p>
        </w:tc>
        <w:tc>
          <w:tcPr>
            <w:tcW w:w="4784" w:type="dxa"/>
          </w:tcPr>
          <w:p w:rsidR="00193D13" w:rsidRPr="00193D13" w:rsidRDefault="00193D13" w:rsidP="00193D13">
            <w:pPr>
              <w:rPr>
                <w:rFonts w:cs="Narkisim"/>
                <w:b/>
                <w:color w:val="1F497D" w:themeColor="text2"/>
                <w:sz w:val="24"/>
                <w:szCs w:val="24"/>
              </w:rPr>
            </w:pPr>
            <w:r w:rsidRPr="00193D13">
              <w:rPr>
                <w:rFonts w:cs="Narkisim"/>
                <w:b/>
                <w:color w:val="1F497D" w:themeColor="text2"/>
                <w:sz w:val="24"/>
                <w:szCs w:val="24"/>
              </w:rPr>
              <w:t>Document Revision History</w:t>
            </w:r>
          </w:p>
        </w:tc>
        <w:tc>
          <w:tcPr>
            <w:tcW w:w="2671" w:type="dxa"/>
          </w:tcPr>
          <w:p w:rsidR="00193D13" w:rsidRPr="00193D13" w:rsidRDefault="00193D13" w:rsidP="00193D13">
            <w:pPr>
              <w:rPr>
                <w:rFonts w:cs="Narkisim"/>
                <w:b/>
                <w:color w:val="1F497D" w:themeColor="text2"/>
                <w:sz w:val="24"/>
                <w:szCs w:val="24"/>
              </w:rPr>
            </w:pPr>
            <w:r w:rsidRPr="00193D13">
              <w:rPr>
                <w:rFonts w:cs="Narkisim"/>
                <w:b/>
                <w:color w:val="1F497D" w:themeColor="text2"/>
                <w:sz w:val="24"/>
                <w:szCs w:val="24"/>
              </w:rPr>
              <w:t>Document Author/</w:t>
            </w:r>
            <w:r w:rsidR="007450EA" w:rsidRPr="00193D13">
              <w:rPr>
                <w:rFonts w:cs="Narkisim"/>
                <w:b/>
                <w:color w:val="1F497D" w:themeColor="text2"/>
                <w:sz w:val="24"/>
                <w:szCs w:val="24"/>
              </w:rPr>
              <w:t>Reviser</w:t>
            </w:r>
          </w:p>
        </w:tc>
      </w:tr>
      <w:tr w:rsidR="00193D13" w:rsidTr="00193D13">
        <w:tc>
          <w:tcPr>
            <w:tcW w:w="1242" w:type="dxa"/>
          </w:tcPr>
          <w:p w:rsidR="00193D13" w:rsidRPr="007450EA" w:rsidRDefault="00193D13" w:rsidP="00193D13">
            <w:pPr>
              <w:rPr>
                <w:rFonts w:ascii="Calibri" w:hAnsi="Calibri" w:cs="Calibri"/>
                <w:sz w:val="24"/>
                <w:szCs w:val="24"/>
              </w:rPr>
            </w:pPr>
            <w:r w:rsidRPr="007450EA">
              <w:rPr>
                <w:rFonts w:ascii="Calibri" w:hAnsi="Calibri" w:cs="Calibri"/>
                <w:sz w:val="24"/>
                <w:szCs w:val="24"/>
              </w:rPr>
              <w:t>Sept 2021</w:t>
            </w:r>
          </w:p>
        </w:tc>
        <w:tc>
          <w:tcPr>
            <w:tcW w:w="1985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  <w:r w:rsidRPr="007450EA">
              <w:rPr>
                <w:rFonts w:cs="Narkisim"/>
                <w:sz w:val="24"/>
                <w:szCs w:val="24"/>
              </w:rPr>
              <w:t>1.0</w:t>
            </w:r>
          </w:p>
        </w:tc>
        <w:tc>
          <w:tcPr>
            <w:tcW w:w="4784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  <w:r w:rsidRPr="007450EA">
              <w:rPr>
                <w:rFonts w:cs="Narkisim"/>
                <w:sz w:val="24"/>
                <w:szCs w:val="24"/>
              </w:rPr>
              <w:t>Document Created</w:t>
            </w:r>
          </w:p>
        </w:tc>
        <w:tc>
          <w:tcPr>
            <w:tcW w:w="2671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  <w:r w:rsidRPr="007450EA">
              <w:rPr>
                <w:rFonts w:cs="Narkisim"/>
                <w:sz w:val="24"/>
                <w:szCs w:val="24"/>
              </w:rPr>
              <w:t>C.</w:t>
            </w:r>
            <w:r w:rsidR="007450EA" w:rsidRPr="007450EA">
              <w:rPr>
                <w:rFonts w:cs="Narkisim"/>
                <w:sz w:val="24"/>
                <w:szCs w:val="24"/>
              </w:rPr>
              <w:t xml:space="preserve"> </w:t>
            </w:r>
            <w:r w:rsidRPr="007450EA">
              <w:rPr>
                <w:rFonts w:cs="Narkisim"/>
                <w:sz w:val="24"/>
                <w:szCs w:val="24"/>
              </w:rPr>
              <w:t>Laurie</w:t>
            </w:r>
          </w:p>
        </w:tc>
      </w:tr>
      <w:tr w:rsidR="00193D13" w:rsidTr="00193D13">
        <w:tc>
          <w:tcPr>
            <w:tcW w:w="1242" w:type="dxa"/>
          </w:tcPr>
          <w:p w:rsidR="00193D13" w:rsidRPr="007450EA" w:rsidRDefault="007450EA" w:rsidP="00193D13">
            <w:pPr>
              <w:rPr>
                <w:rFonts w:ascii="Calibri" w:hAnsi="Calibri" w:cs="Calibri"/>
                <w:sz w:val="24"/>
                <w:szCs w:val="24"/>
              </w:rPr>
            </w:pPr>
            <w:r w:rsidRPr="007450EA">
              <w:rPr>
                <w:rFonts w:ascii="Calibri" w:hAnsi="Calibri" w:cs="Calibri"/>
                <w:sz w:val="24"/>
                <w:szCs w:val="24"/>
              </w:rPr>
              <w:t>17.9.24</w:t>
            </w:r>
          </w:p>
        </w:tc>
        <w:tc>
          <w:tcPr>
            <w:tcW w:w="1985" w:type="dxa"/>
          </w:tcPr>
          <w:p w:rsidR="00193D13" w:rsidRPr="007450EA" w:rsidRDefault="007450EA" w:rsidP="00193D13">
            <w:pPr>
              <w:rPr>
                <w:rFonts w:cs="Narkisim"/>
                <w:sz w:val="24"/>
                <w:szCs w:val="24"/>
              </w:rPr>
            </w:pPr>
            <w:r w:rsidRPr="007450EA">
              <w:rPr>
                <w:rFonts w:cs="Narkisim"/>
                <w:sz w:val="24"/>
                <w:szCs w:val="24"/>
              </w:rPr>
              <w:t>2.0</w:t>
            </w:r>
          </w:p>
        </w:tc>
        <w:tc>
          <w:tcPr>
            <w:tcW w:w="4784" w:type="dxa"/>
          </w:tcPr>
          <w:p w:rsidR="00193D13" w:rsidRPr="007450EA" w:rsidRDefault="007450EA" w:rsidP="00193D13">
            <w:pPr>
              <w:rPr>
                <w:rFonts w:cs="Narkisim"/>
                <w:sz w:val="24"/>
                <w:szCs w:val="24"/>
              </w:rPr>
            </w:pPr>
            <w:r w:rsidRPr="007450EA">
              <w:rPr>
                <w:rFonts w:cs="Narkisim"/>
                <w:sz w:val="24"/>
                <w:szCs w:val="24"/>
              </w:rPr>
              <w:t>Updated and amended</w:t>
            </w:r>
          </w:p>
        </w:tc>
        <w:tc>
          <w:tcPr>
            <w:tcW w:w="2671" w:type="dxa"/>
          </w:tcPr>
          <w:p w:rsidR="00193D13" w:rsidRPr="007450EA" w:rsidRDefault="007450EA" w:rsidP="00193D13">
            <w:pPr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cs="Narkisim"/>
                <w:sz w:val="24"/>
                <w:szCs w:val="24"/>
              </w:rPr>
              <w:t>Revill</w:t>
            </w:r>
            <w:proofErr w:type="spellEnd"/>
          </w:p>
        </w:tc>
      </w:tr>
      <w:tr w:rsidR="00193D13" w:rsidTr="00193D13">
        <w:tc>
          <w:tcPr>
            <w:tcW w:w="1242" w:type="dxa"/>
          </w:tcPr>
          <w:p w:rsidR="00193D13" w:rsidRPr="007450EA" w:rsidRDefault="00193D13" w:rsidP="00193D1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</w:p>
        </w:tc>
        <w:tc>
          <w:tcPr>
            <w:tcW w:w="4784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</w:p>
        </w:tc>
        <w:tc>
          <w:tcPr>
            <w:tcW w:w="2671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</w:p>
        </w:tc>
      </w:tr>
      <w:tr w:rsidR="00193D13" w:rsidTr="00193D13">
        <w:tc>
          <w:tcPr>
            <w:tcW w:w="1242" w:type="dxa"/>
          </w:tcPr>
          <w:p w:rsidR="00193D13" w:rsidRPr="007450EA" w:rsidRDefault="00193D13" w:rsidP="00193D1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</w:p>
        </w:tc>
        <w:tc>
          <w:tcPr>
            <w:tcW w:w="4784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</w:p>
        </w:tc>
        <w:tc>
          <w:tcPr>
            <w:tcW w:w="2671" w:type="dxa"/>
          </w:tcPr>
          <w:p w:rsidR="00193D13" w:rsidRPr="007450EA" w:rsidRDefault="00193D13" w:rsidP="00193D13">
            <w:pPr>
              <w:rPr>
                <w:rFonts w:cs="Narkisim"/>
                <w:sz w:val="24"/>
                <w:szCs w:val="24"/>
              </w:rPr>
            </w:pPr>
          </w:p>
        </w:tc>
      </w:tr>
    </w:tbl>
    <w:p w:rsidR="00193D13" w:rsidRPr="00900E9B" w:rsidRDefault="00193D13" w:rsidP="00193D13">
      <w:pPr>
        <w:rPr>
          <w:rFonts w:cs="Narkisim"/>
          <w:b/>
          <w:color w:val="1F497D" w:themeColor="text2"/>
          <w:sz w:val="32"/>
          <w:szCs w:val="32"/>
        </w:rPr>
      </w:pPr>
    </w:p>
    <w:p w:rsidR="00193D13" w:rsidRDefault="00193D13" w:rsidP="00193D13"/>
    <w:p w:rsidR="00193D13" w:rsidRDefault="00193D13" w:rsidP="00193D13"/>
    <w:p w:rsidR="005D0011" w:rsidRDefault="005D0011" w:rsidP="007450EA">
      <w:pPr>
        <w:rPr>
          <w:sz w:val="52"/>
        </w:rPr>
      </w:pPr>
    </w:p>
    <w:p w:rsidR="005D0011" w:rsidRDefault="005D0011" w:rsidP="005D0011">
      <w:pPr>
        <w:jc w:val="center"/>
        <w:rPr>
          <w:sz w:val="52"/>
        </w:rPr>
      </w:pPr>
    </w:p>
    <w:p w:rsidR="007450EA" w:rsidRDefault="007450EA">
      <w:r>
        <w:br w:type="page"/>
      </w:r>
    </w:p>
    <w:p w:rsidR="005D0011" w:rsidRPr="007450EA" w:rsidRDefault="007450EA" w:rsidP="005D0011">
      <w:pPr>
        <w:pStyle w:val="NoSpacing"/>
        <w:jc w:val="center"/>
        <w:rPr>
          <w:b/>
          <w:color w:val="1F497D" w:themeColor="text2"/>
          <w:sz w:val="32"/>
          <w:szCs w:val="32"/>
        </w:rPr>
      </w:pPr>
      <w:r w:rsidRPr="007450EA">
        <w:rPr>
          <w:b/>
          <w:color w:val="1F497D" w:themeColor="text2"/>
          <w:sz w:val="32"/>
          <w:szCs w:val="32"/>
        </w:rPr>
        <w:t>Intimate and Personal</w:t>
      </w:r>
      <w:r w:rsidR="005D0011" w:rsidRPr="007450EA">
        <w:rPr>
          <w:b/>
          <w:color w:val="1F497D" w:themeColor="text2"/>
          <w:sz w:val="32"/>
          <w:szCs w:val="32"/>
        </w:rPr>
        <w:t xml:space="preserve"> </w:t>
      </w:r>
      <w:r w:rsidRPr="007450EA">
        <w:rPr>
          <w:b/>
          <w:color w:val="1F497D" w:themeColor="text2"/>
          <w:sz w:val="32"/>
          <w:szCs w:val="32"/>
        </w:rPr>
        <w:t xml:space="preserve">Care </w:t>
      </w:r>
      <w:r w:rsidR="005D0011" w:rsidRPr="007450EA">
        <w:rPr>
          <w:b/>
          <w:color w:val="1F497D" w:themeColor="text2"/>
          <w:sz w:val="32"/>
          <w:szCs w:val="32"/>
        </w:rPr>
        <w:t>Policy</w:t>
      </w:r>
    </w:p>
    <w:p w:rsidR="005D0011" w:rsidRPr="005D0011" w:rsidRDefault="005D0011" w:rsidP="005D0011">
      <w:pPr>
        <w:pStyle w:val="NoSpacing"/>
      </w:pPr>
    </w:p>
    <w:p w:rsidR="007450EA" w:rsidRPr="005D0011" w:rsidRDefault="007450EA" w:rsidP="007450EA">
      <w:pPr>
        <w:pStyle w:val="NoSpacing"/>
        <w:rPr>
          <w:u w:val="single"/>
        </w:rPr>
      </w:pPr>
      <w:r w:rsidRPr="005D0011">
        <w:rPr>
          <w:u w:val="single"/>
        </w:rPr>
        <w:t>AIMS</w:t>
      </w:r>
    </w:p>
    <w:p w:rsidR="007450EA" w:rsidRPr="005D0011" w:rsidRDefault="007450EA" w:rsidP="007450EA">
      <w:pPr>
        <w:pStyle w:val="NoSpacing"/>
      </w:pPr>
      <w:r w:rsidRPr="005D0011">
        <w:t>The aims of this policy are:</w:t>
      </w:r>
    </w:p>
    <w:p w:rsidR="007450EA" w:rsidRPr="005D0011" w:rsidRDefault="007450EA" w:rsidP="007450EA">
      <w:pPr>
        <w:pStyle w:val="NoSpacing"/>
        <w:numPr>
          <w:ilvl w:val="0"/>
          <w:numId w:val="3"/>
        </w:numPr>
      </w:pPr>
      <w:r w:rsidRPr="005D0011">
        <w:t>To safeguard the rights and promote the welfare of children and young people.</w:t>
      </w:r>
    </w:p>
    <w:p w:rsidR="007450EA" w:rsidRPr="005D0011" w:rsidRDefault="007450EA" w:rsidP="007450EA">
      <w:pPr>
        <w:pStyle w:val="NoSpacing"/>
        <w:numPr>
          <w:ilvl w:val="0"/>
          <w:numId w:val="3"/>
        </w:numPr>
      </w:pPr>
      <w:r w:rsidRPr="005D0011">
        <w:t>To provide guidance and reassurance to staff whose deal with intimate care.</w:t>
      </w:r>
    </w:p>
    <w:p w:rsidR="007450EA" w:rsidRPr="005D0011" w:rsidRDefault="007450EA" w:rsidP="007450EA">
      <w:pPr>
        <w:pStyle w:val="NoSpacing"/>
        <w:numPr>
          <w:ilvl w:val="0"/>
          <w:numId w:val="3"/>
        </w:numPr>
      </w:pPr>
      <w:r w:rsidRPr="005D0011">
        <w:t>To assure parents and carers that staff are knowledgeable abo</w:t>
      </w:r>
      <w:r>
        <w:t xml:space="preserve">ut personal care and that their </w:t>
      </w:r>
      <w:r w:rsidRPr="005D0011">
        <w:t>individual concerns are taken into account.</w:t>
      </w:r>
    </w:p>
    <w:p w:rsidR="007450EA" w:rsidRPr="005D0011" w:rsidRDefault="007450EA" w:rsidP="007450EA">
      <w:pPr>
        <w:pStyle w:val="NoSpacing"/>
        <w:numPr>
          <w:ilvl w:val="0"/>
          <w:numId w:val="3"/>
        </w:numPr>
      </w:pPr>
      <w:r w:rsidRPr="005D0011">
        <w:t xml:space="preserve">To remove barriers to learning and participation, protect </w:t>
      </w:r>
      <w:r>
        <w:t xml:space="preserve">from discrimination, and ensure </w:t>
      </w:r>
      <w:r w:rsidRPr="005D0011">
        <w:t>inclusion for all children.</w:t>
      </w:r>
    </w:p>
    <w:p w:rsidR="007450EA" w:rsidRDefault="007450EA" w:rsidP="005D0011">
      <w:pPr>
        <w:pStyle w:val="NoSpacing"/>
        <w:rPr>
          <w:u w:val="single"/>
        </w:rPr>
      </w:pPr>
    </w:p>
    <w:p w:rsidR="005D0011" w:rsidRPr="005D0011" w:rsidRDefault="005D0011" w:rsidP="005D0011">
      <w:pPr>
        <w:pStyle w:val="NoSpacing"/>
        <w:rPr>
          <w:u w:val="single"/>
        </w:rPr>
      </w:pPr>
      <w:r w:rsidRPr="005D0011">
        <w:rPr>
          <w:u w:val="single"/>
        </w:rPr>
        <w:t>Remit</w:t>
      </w:r>
    </w:p>
    <w:p w:rsidR="005D0011" w:rsidRPr="005D0011" w:rsidRDefault="005D0011" w:rsidP="005D0011">
      <w:pPr>
        <w:pStyle w:val="NoSpacing"/>
      </w:pPr>
      <w:r w:rsidRPr="005D0011">
        <w:t>Some children within school require assistance with intimate care tasks, especially toileting.</w:t>
      </w:r>
    </w:p>
    <w:p w:rsidR="005D0011" w:rsidRPr="005D0011" w:rsidRDefault="005D0011" w:rsidP="005D0011">
      <w:pPr>
        <w:pStyle w:val="NoSpacing"/>
      </w:pPr>
      <w:r w:rsidRPr="005D0011">
        <w:t>Other children may also experience difficulties with toileting for a variety of reasons.</w:t>
      </w:r>
    </w:p>
    <w:p w:rsid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  <w:r w:rsidRPr="005D0011">
        <w:t>All of the children/young people we work with have the right</w:t>
      </w:r>
      <w:r>
        <w:t xml:space="preserve"> to be safe, to be treated with </w:t>
      </w:r>
      <w:r w:rsidRPr="005D0011">
        <w:t>courtesy, dignity, and respect, and to be able to access all aspects of the education curriculum.</w:t>
      </w:r>
    </w:p>
    <w:p w:rsid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  <w:r w:rsidRPr="005D0011">
        <w:t>This policy sets out clear principles and guidance on supporting intima</w:t>
      </w:r>
      <w:r>
        <w:t xml:space="preserve">te care needs with </w:t>
      </w:r>
      <w:r w:rsidR="00193D13">
        <w:t>specific</w:t>
      </w:r>
      <w:r w:rsidR="00193D13" w:rsidRPr="005D0011">
        <w:t xml:space="preserve"> reference</w:t>
      </w:r>
      <w:r w:rsidRPr="005D0011">
        <w:t xml:space="preserve"> to toileting.</w:t>
      </w:r>
    </w:p>
    <w:p w:rsidR="005D0011" w:rsidRP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  <w:rPr>
          <w:u w:val="single"/>
        </w:rPr>
      </w:pPr>
      <w:r w:rsidRPr="005D0011">
        <w:rPr>
          <w:u w:val="single"/>
        </w:rPr>
        <w:t>Background</w:t>
      </w:r>
    </w:p>
    <w:p w:rsidR="005D0011" w:rsidRPr="005D0011" w:rsidRDefault="005D0011" w:rsidP="005D0011">
      <w:pPr>
        <w:pStyle w:val="NoSpacing"/>
      </w:pPr>
      <w:r w:rsidRPr="005D0011">
        <w:t>The DDA (The Disability Discriminat</w:t>
      </w:r>
      <w:r>
        <w:t xml:space="preserve">ion Act (DDA 2001 amended 2005) </w:t>
      </w:r>
      <w:r w:rsidRPr="005D0011">
        <w:t>provides protection for anyone who has a physical, sensory o</w:t>
      </w:r>
      <w:r>
        <w:t xml:space="preserve">r mental impairment that has an </w:t>
      </w:r>
      <w:r w:rsidRPr="005D0011">
        <w:t>adverse effect on his/her ability to carry out normal day-today</w:t>
      </w:r>
      <w:r>
        <w:t xml:space="preserve"> activities. The effect must be </w:t>
      </w:r>
      <w:r w:rsidRPr="005D0011">
        <w:t>substantial and long-term.</w:t>
      </w:r>
    </w:p>
    <w:p w:rsid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  <w:r w:rsidRPr="005D0011">
        <w:t>Anyone with a named condition that affects aspects of p</w:t>
      </w:r>
      <w:r>
        <w:t xml:space="preserve">ersonal development must not be </w:t>
      </w:r>
      <w:r w:rsidRPr="005D0011">
        <w:t xml:space="preserve">discriminated against. Delayed continence is not necessarily linked </w:t>
      </w:r>
      <w:r>
        <w:t xml:space="preserve">with learning difficulties, but </w:t>
      </w:r>
      <w:r w:rsidRPr="005D0011">
        <w:t>children with global developmental delay which may not have b</w:t>
      </w:r>
      <w:r>
        <w:t xml:space="preserve">een identified by the time they </w:t>
      </w:r>
      <w:r w:rsidRPr="005D0011">
        <w:t>enter nursery or school are likely to be late coming out of</w:t>
      </w:r>
      <w:r>
        <w:t xml:space="preserve"> nappies. It follows that it is </w:t>
      </w:r>
      <w:r w:rsidRPr="005D0011">
        <w:t>unacceptable to refuse admission to children and young peop</w:t>
      </w:r>
      <w:r>
        <w:t xml:space="preserve">le who are delayed in achieving </w:t>
      </w:r>
      <w:r w:rsidRPr="005D0011">
        <w:t>continence.</w:t>
      </w:r>
    </w:p>
    <w:p w:rsidR="005D0011" w:rsidRP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  <w:r>
        <w:t>Etchells</w:t>
      </w:r>
      <w:r w:rsidRPr="005D0011">
        <w:t>, therefore, has an obligation to meet the toileting needs</w:t>
      </w:r>
      <w:r>
        <w:t xml:space="preserve"> of children in the same way as </w:t>
      </w:r>
      <w:r w:rsidRPr="005D0011">
        <w:t xml:space="preserve">they would meet the individual needs of those with delayed language, or </w:t>
      </w:r>
      <w:r>
        <w:t xml:space="preserve">any other kind of </w:t>
      </w:r>
      <w:r w:rsidRPr="005D0011">
        <w:t>delayed development. Children should not be excluded from norm</w:t>
      </w:r>
      <w:r>
        <w:t xml:space="preserve">al pre-school activities solely </w:t>
      </w:r>
      <w:r w:rsidRPr="005D0011">
        <w:t>because of incontinence, neither should they be sent home to cha</w:t>
      </w:r>
      <w:r>
        <w:t xml:space="preserve">nge, or be required to wait for </w:t>
      </w:r>
      <w:r w:rsidRPr="005D0011">
        <w:t>their parents or carers to attend to them at school.</w:t>
      </w:r>
    </w:p>
    <w:p w:rsid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  <w:r w:rsidRPr="005D0011">
        <w:t>All such issues have to be dealt with on an individual basis, an</w:t>
      </w:r>
      <w:r>
        <w:t xml:space="preserve">d settings are expected to make </w:t>
      </w:r>
      <w:r w:rsidRPr="005D0011">
        <w:t>reasonable adjustments to meet the needs of each child or young person.</w:t>
      </w:r>
    </w:p>
    <w:p w:rsidR="005D0011" w:rsidRP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  <w:rPr>
          <w:u w:val="single"/>
        </w:rPr>
      </w:pPr>
      <w:r w:rsidRPr="005D0011">
        <w:rPr>
          <w:u w:val="single"/>
        </w:rPr>
        <w:t>DEFINITION OF INTIMATE CARE</w:t>
      </w:r>
    </w:p>
    <w:p w:rsidR="005D0011" w:rsidRDefault="005D0011" w:rsidP="005D0011">
      <w:pPr>
        <w:pStyle w:val="NoSpacing"/>
      </w:pPr>
      <w:r w:rsidRPr="005D0011">
        <w:t>‘Intimate Care’ can be defined as care tasks of an intimate</w:t>
      </w:r>
      <w:r>
        <w:t xml:space="preserve"> nature, associated with bodily </w:t>
      </w:r>
      <w:r w:rsidRPr="005D0011">
        <w:t>functions, bodily products and personal hygiene, which demand direc</w:t>
      </w:r>
      <w:r>
        <w:t>t or indirect contact with, or exposure</w:t>
      </w:r>
      <w:r w:rsidRPr="005D0011">
        <w:t xml:space="preserve"> of, the sexual parts of the body. </w:t>
      </w:r>
    </w:p>
    <w:p w:rsid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  <w:r w:rsidRPr="005D0011">
        <w:t>Help may also be requ</w:t>
      </w:r>
      <w:r>
        <w:t xml:space="preserve">ired with changing colostomy or </w:t>
      </w:r>
      <w:r w:rsidRPr="005D0011">
        <w:t>ileostomy bags, managing catheters, stomas or other appliances.</w:t>
      </w:r>
    </w:p>
    <w:p w:rsid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  <w:r w:rsidRPr="005D0011">
        <w:t>Intimate care tasks specifically identified as relevant include:</w:t>
      </w:r>
    </w:p>
    <w:p w:rsidR="005D0011" w:rsidRPr="005D0011" w:rsidRDefault="005D0011" w:rsidP="005D0011">
      <w:pPr>
        <w:pStyle w:val="NoSpacing"/>
        <w:numPr>
          <w:ilvl w:val="0"/>
          <w:numId w:val="1"/>
        </w:numPr>
      </w:pPr>
      <w:r w:rsidRPr="005D0011">
        <w:t>Dressing and undressing (underwear)</w:t>
      </w:r>
    </w:p>
    <w:p w:rsidR="005D0011" w:rsidRPr="005D0011" w:rsidRDefault="005D0011" w:rsidP="005D0011">
      <w:pPr>
        <w:pStyle w:val="NoSpacing"/>
        <w:numPr>
          <w:ilvl w:val="0"/>
          <w:numId w:val="1"/>
        </w:numPr>
      </w:pPr>
      <w:r>
        <w:t>H</w:t>
      </w:r>
      <w:r w:rsidRPr="005D0011">
        <w:t>elping someone use the toilet</w:t>
      </w:r>
    </w:p>
    <w:p w:rsidR="005D0011" w:rsidRPr="005D0011" w:rsidRDefault="005D0011" w:rsidP="005D0011">
      <w:pPr>
        <w:pStyle w:val="NoSpacing"/>
        <w:numPr>
          <w:ilvl w:val="0"/>
          <w:numId w:val="1"/>
        </w:numPr>
      </w:pPr>
      <w:r w:rsidRPr="005D0011">
        <w:t>Changing continence pads (faeces and urine)</w:t>
      </w:r>
    </w:p>
    <w:p w:rsidR="005D0011" w:rsidRPr="005D0011" w:rsidRDefault="005D0011" w:rsidP="005D0011">
      <w:pPr>
        <w:pStyle w:val="NoSpacing"/>
        <w:numPr>
          <w:ilvl w:val="0"/>
          <w:numId w:val="1"/>
        </w:numPr>
      </w:pPr>
      <w:r w:rsidRPr="005D0011">
        <w:t>Cleaning intimate parts of the body</w:t>
      </w:r>
    </w:p>
    <w:p w:rsidR="005D0011" w:rsidRDefault="005D0011" w:rsidP="005D0011">
      <w:pPr>
        <w:pStyle w:val="NoSpacing"/>
        <w:numPr>
          <w:ilvl w:val="0"/>
          <w:numId w:val="1"/>
        </w:numPr>
      </w:pPr>
      <w:r w:rsidRPr="005D0011">
        <w:t>Inserting suppositories (with training)</w:t>
      </w:r>
    </w:p>
    <w:p w:rsid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  <w:r w:rsidRPr="005D0011">
        <w:t>DEFINITION OF PERSONAL CARE</w:t>
      </w:r>
    </w:p>
    <w:p w:rsidR="005D0011" w:rsidRPr="005D0011" w:rsidRDefault="005D0011" w:rsidP="005D0011">
      <w:pPr>
        <w:pStyle w:val="NoSpacing"/>
      </w:pPr>
      <w:r w:rsidRPr="005D0011">
        <w:t>Personal care tasks include:</w:t>
      </w:r>
    </w:p>
    <w:p w:rsidR="005D0011" w:rsidRPr="005D0011" w:rsidRDefault="005D0011" w:rsidP="005D0011">
      <w:pPr>
        <w:pStyle w:val="NoSpacing"/>
        <w:numPr>
          <w:ilvl w:val="0"/>
          <w:numId w:val="3"/>
        </w:numPr>
      </w:pPr>
      <w:r w:rsidRPr="005D0011">
        <w:t>Skin care/applying external medication</w:t>
      </w:r>
    </w:p>
    <w:p w:rsidR="005D0011" w:rsidRPr="005D0011" w:rsidRDefault="005D0011" w:rsidP="005D0011">
      <w:pPr>
        <w:pStyle w:val="NoSpacing"/>
        <w:numPr>
          <w:ilvl w:val="0"/>
          <w:numId w:val="3"/>
        </w:numPr>
      </w:pPr>
      <w:r w:rsidRPr="005D0011">
        <w:t>Feeding</w:t>
      </w:r>
    </w:p>
    <w:p w:rsidR="005D0011" w:rsidRPr="005D0011" w:rsidRDefault="005D0011" w:rsidP="005D0011">
      <w:pPr>
        <w:pStyle w:val="NoSpacing"/>
        <w:numPr>
          <w:ilvl w:val="0"/>
          <w:numId w:val="3"/>
        </w:numPr>
      </w:pPr>
      <w:r w:rsidRPr="005D0011">
        <w:t>Administering oral medication</w:t>
      </w:r>
    </w:p>
    <w:p w:rsidR="005D0011" w:rsidRPr="005D0011" w:rsidRDefault="005D0011" w:rsidP="005D0011">
      <w:pPr>
        <w:pStyle w:val="NoSpacing"/>
        <w:numPr>
          <w:ilvl w:val="0"/>
          <w:numId w:val="3"/>
        </w:numPr>
      </w:pPr>
      <w:r w:rsidRPr="005D0011">
        <w:t>Dressing and undressing (clothing)</w:t>
      </w:r>
    </w:p>
    <w:p w:rsidR="005D0011" w:rsidRPr="005D0011" w:rsidRDefault="005D0011" w:rsidP="005D0011">
      <w:pPr>
        <w:pStyle w:val="NoSpacing"/>
        <w:numPr>
          <w:ilvl w:val="0"/>
          <w:numId w:val="3"/>
        </w:numPr>
      </w:pPr>
      <w:r w:rsidRPr="005D0011">
        <w:t>Washing non-intimate body parts</w:t>
      </w:r>
    </w:p>
    <w:p w:rsidR="005D0011" w:rsidRDefault="005D0011" w:rsidP="005D0011">
      <w:pPr>
        <w:pStyle w:val="NoSpacing"/>
        <w:numPr>
          <w:ilvl w:val="0"/>
          <w:numId w:val="3"/>
        </w:numPr>
      </w:pPr>
      <w:r w:rsidRPr="005D0011">
        <w:t>Prompting to go to the toilet</w:t>
      </w:r>
    </w:p>
    <w:p w:rsidR="00193D13" w:rsidRPr="005D0011" w:rsidRDefault="00193D13" w:rsidP="007450EA">
      <w:pPr>
        <w:pStyle w:val="NoSpacing"/>
        <w:ind w:left="720"/>
      </w:pPr>
    </w:p>
    <w:p w:rsidR="005D0011" w:rsidRDefault="005D0011" w:rsidP="005D0011">
      <w:pPr>
        <w:pStyle w:val="NoSpacing"/>
      </w:pPr>
      <w:r w:rsidRPr="005D0011">
        <w:t xml:space="preserve">Children and young people may require help </w:t>
      </w:r>
      <w:r>
        <w:t xml:space="preserve">with eating, drinking, washing, </w:t>
      </w:r>
      <w:r w:rsidRPr="005D0011">
        <w:t>dressing and toileting. This guidance is not prescriptive but is</w:t>
      </w:r>
      <w:r>
        <w:t xml:space="preserve"> based on the good practice and </w:t>
      </w:r>
      <w:r w:rsidRPr="005D0011">
        <w:t>practical experience of those dealing with such children and young people.</w:t>
      </w:r>
    </w:p>
    <w:p w:rsidR="005D0011" w:rsidRPr="005D0011" w:rsidRDefault="005D0011" w:rsidP="005D0011">
      <w:pPr>
        <w:pStyle w:val="NoSpacing"/>
      </w:pPr>
    </w:p>
    <w:p w:rsidR="005D0011" w:rsidRPr="005D0011" w:rsidRDefault="005D0011" w:rsidP="005D0011">
      <w:pPr>
        <w:pStyle w:val="NoSpacing"/>
      </w:pPr>
      <w:r w:rsidRPr="005D0011">
        <w:t>BASIC PRINCIPLES</w:t>
      </w:r>
    </w:p>
    <w:p w:rsidR="005D0011" w:rsidRDefault="005D0011" w:rsidP="005D0011">
      <w:pPr>
        <w:pStyle w:val="NoSpacing"/>
      </w:pPr>
      <w:r w:rsidRPr="005D0011">
        <w:t>Children and young people’s intimate care needs</w:t>
      </w:r>
      <w:r>
        <w:t xml:space="preserve"> cannot be seen in isolation or s</w:t>
      </w:r>
      <w:r w:rsidRPr="005D0011">
        <w:t>eparated from other aspects of their lives. Encouraging them to pa</w:t>
      </w:r>
      <w:r>
        <w:t xml:space="preserve">rticipate in their own intimate </w:t>
      </w:r>
      <w:r w:rsidRPr="005D0011">
        <w:t>or personal care should therefore be part of a general approach towards fac</w:t>
      </w:r>
      <w:r>
        <w:t xml:space="preserve">ilitating participation </w:t>
      </w:r>
      <w:r w:rsidRPr="005D0011">
        <w:t>in daily life.</w:t>
      </w:r>
    </w:p>
    <w:p w:rsidR="005D0011" w:rsidRP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  <w:r w:rsidRPr="005D0011">
        <w:t>Intimate care can also take substantial amounts of time but sh</w:t>
      </w:r>
      <w:r>
        <w:t xml:space="preserve">ould be an enjoyable experience </w:t>
      </w:r>
      <w:r w:rsidRPr="005D0011">
        <w:t>for the child and for their parents/carer(s). It is essential that every ch</w:t>
      </w:r>
      <w:r>
        <w:t xml:space="preserve">ild is treated as an individual </w:t>
      </w:r>
      <w:r w:rsidRPr="005D0011">
        <w:t>and that care is given as gently and as sensitively as possible. Th</w:t>
      </w:r>
      <w:r>
        <w:t xml:space="preserve">e child should be encouraged to </w:t>
      </w:r>
      <w:r w:rsidRPr="005D0011">
        <w:t>express choice and to have a positive image of his/her body.</w:t>
      </w:r>
    </w:p>
    <w:p w:rsidR="005D0011" w:rsidRPr="005D0011" w:rsidRDefault="005D0011" w:rsidP="005D0011">
      <w:pPr>
        <w:pStyle w:val="NoSpacing"/>
      </w:pPr>
    </w:p>
    <w:p w:rsidR="005D0011" w:rsidRDefault="005D0011" w:rsidP="005D0011">
      <w:pPr>
        <w:pStyle w:val="NoSpacing"/>
      </w:pPr>
      <w:r w:rsidRPr="005D0011">
        <w:t>Staff should bear in mind the following principles:</w:t>
      </w:r>
    </w:p>
    <w:p w:rsidR="00193D13" w:rsidRPr="005D0011" w:rsidRDefault="00193D13" w:rsidP="005D0011">
      <w:pPr>
        <w:pStyle w:val="NoSpacing"/>
      </w:pPr>
    </w:p>
    <w:p w:rsidR="005D0011" w:rsidRPr="005D0011" w:rsidRDefault="005D0011" w:rsidP="00147839">
      <w:pPr>
        <w:pStyle w:val="NoSpacing"/>
        <w:numPr>
          <w:ilvl w:val="0"/>
          <w:numId w:val="3"/>
        </w:numPr>
      </w:pPr>
      <w:r w:rsidRPr="005D0011">
        <w:t>Children have a right to feel safe and secure.</w:t>
      </w:r>
    </w:p>
    <w:p w:rsidR="005D0011" w:rsidRPr="005D0011" w:rsidRDefault="005D0011" w:rsidP="00147839">
      <w:pPr>
        <w:pStyle w:val="NoSpacing"/>
        <w:numPr>
          <w:ilvl w:val="0"/>
          <w:numId w:val="3"/>
        </w:numPr>
      </w:pPr>
      <w:r w:rsidRPr="005D0011">
        <w:t xml:space="preserve">Children have a right to an education and schools have a duty to </w:t>
      </w:r>
      <w:r>
        <w:t xml:space="preserve">identify and remove barriers to </w:t>
      </w:r>
      <w:r w:rsidRPr="005D0011">
        <w:t>learning and participation for pupils of all abilities and needs</w:t>
      </w:r>
    </w:p>
    <w:p w:rsidR="005D0011" w:rsidRPr="005D0011" w:rsidRDefault="005D0011" w:rsidP="00147839">
      <w:pPr>
        <w:pStyle w:val="NoSpacing"/>
        <w:numPr>
          <w:ilvl w:val="0"/>
          <w:numId w:val="3"/>
        </w:numPr>
      </w:pPr>
      <w:r w:rsidRPr="005D0011">
        <w:t>Children/young people should be respected and valued as individuals.</w:t>
      </w:r>
    </w:p>
    <w:p w:rsidR="005D0011" w:rsidRPr="005D0011" w:rsidRDefault="005D0011" w:rsidP="00147839">
      <w:pPr>
        <w:pStyle w:val="NoSpacing"/>
        <w:numPr>
          <w:ilvl w:val="0"/>
          <w:numId w:val="3"/>
        </w:numPr>
      </w:pPr>
      <w:r w:rsidRPr="005D0011">
        <w:t>Children/young people have a right to privacy, dignity and a p</w:t>
      </w:r>
      <w:r>
        <w:t xml:space="preserve">rofessional approach from staff </w:t>
      </w:r>
      <w:r w:rsidRPr="005D0011">
        <w:t>when meeting their needs.</w:t>
      </w:r>
    </w:p>
    <w:p w:rsidR="005D0011" w:rsidRPr="005D0011" w:rsidRDefault="005D0011" w:rsidP="00147839">
      <w:pPr>
        <w:pStyle w:val="NoSpacing"/>
        <w:numPr>
          <w:ilvl w:val="0"/>
          <w:numId w:val="3"/>
        </w:numPr>
      </w:pPr>
      <w:r w:rsidRPr="005D0011">
        <w:t>Children/young people have the right to information and</w:t>
      </w:r>
      <w:r>
        <w:t xml:space="preserve"> support to enable them to make </w:t>
      </w:r>
      <w:r w:rsidRPr="005D0011">
        <w:t>appropriate choices.</w:t>
      </w:r>
    </w:p>
    <w:p w:rsidR="005D0011" w:rsidRPr="005D0011" w:rsidRDefault="005D0011" w:rsidP="00147839">
      <w:pPr>
        <w:pStyle w:val="NoSpacing"/>
        <w:numPr>
          <w:ilvl w:val="0"/>
          <w:numId w:val="3"/>
        </w:numPr>
      </w:pPr>
      <w:r w:rsidRPr="005D0011">
        <w:t>Children/young people have the right to be accepted for who t</w:t>
      </w:r>
      <w:r>
        <w:t xml:space="preserve">hey are, without regard to age, </w:t>
      </w:r>
      <w:r w:rsidRPr="005D0011">
        <w:t>gender, ability, race, culture or beliefs.</w:t>
      </w:r>
    </w:p>
    <w:p w:rsidR="005D0011" w:rsidRDefault="005D0011" w:rsidP="00147839">
      <w:pPr>
        <w:pStyle w:val="NoSpacing"/>
        <w:numPr>
          <w:ilvl w:val="0"/>
          <w:numId w:val="3"/>
        </w:numPr>
      </w:pPr>
      <w:r w:rsidRPr="005D0011">
        <w:t>Children/young people have the right to express their views and have them heard.</w:t>
      </w:r>
    </w:p>
    <w:p w:rsidR="00147839" w:rsidRPr="005D0011" w:rsidRDefault="00147839" w:rsidP="00147839">
      <w:pPr>
        <w:pStyle w:val="NoSpacing"/>
        <w:ind w:left="720"/>
      </w:pPr>
    </w:p>
    <w:p w:rsidR="005D0011" w:rsidRPr="005D0011" w:rsidRDefault="005D0011" w:rsidP="005D0011">
      <w:pPr>
        <w:pStyle w:val="NoSpacing"/>
      </w:pPr>
      <w:r w:rsidRPr="005D0011">
        <w:t>WORKING WITH PARENTS/CARERS</w:t>
      </w:r>
    </w:p>
    <w:p w:rsidR="005D0011" w:rsidRPr="005D0011" w:rsidRDefault="005D0011" w:rsidP="005D0011">
      <w:pPr>
        <w:pStyle w:val="NoSpacing"/>
      </w:pPr>
      <w:r w:rsidRPr="005D0011">
        <w:t xml:space="preserve">Establishing effective working relationships with parents/carers is a </w:t>
      </w:r>
      <w:r>
        <w:t xml:space="preserve">key task for all schools and is </w:t>
      </w:r>
      <w:r w:rsidRPr="005D0011">
        <w:t>particularly necessary for children/young people with special care needs or disabilities.</w:t>
      </w:r>
    </w:p>
    <w:p w:rsidR="005D0011" w:rsidRDefault="005D0011" w:rsidP="005D0011">
      <w:pPr>
        <w:pStyle w:val="NoSpacing"/>
      </w:pPr>
      <w:r w:rsidRPr="005D0011">
        <w:t>Parents/carers should be encouraged and empowered to work wit</w:t>
      </w:r>
      <w:r>
        <w:t xml:space="preserve">h professionals to ensure their </w:t>
      </w:r>
      <w:r w:rsidRPr="005D0011">
        <w:t>child/young person’s needs are properly identified, understood an</w:t>
      </w:r>
      <w:r>
        <w:t xml:space="preserve">d met. Although they should </w:t>
      </w:r>
      <w:r w:rsidR="00147839">
        <w:t>be made</w:t>
      </w:r>
      <w:r w:rsidRPr="005D0011">
        <w:t xml:space="preserve"> welcome, and given every opportunity to explain their </w:t>
      </w:r>
      <w:r>
        <w:t xml:space="preserve">child/young person’s particular </w:t>
      </w:r>
      <w:r w:rsidRPr="005D0011">
        <w:t>needs, they should not be made to feel responsible fo</w:t>
      </w:r>
      <w:r w:rsidR="00147839">
        <w:t>r their child’s care in school.</w:t>
      </w:r>
    </w:p>
    <w:p w:rsidR="00147839" w:rsidRPr="005D0011" w:rsidRDefault="00147839" w:rsidP="005D0011">
      <w:pPr>
        <w:pStyle w:val="NoSpacing"/>
      </w:pPr>
    </w:p>
    <w:p w:rsidR="005D0011" w:rsidRPr="005D0011" w:rsidRDefault="005D0011" w:rsidP="005D0011">
      <w:pPr>
        <w:pStyle w:val="NoSpacing"/>
      </w:pPr>
      <w:r w:rsidRPr="005D0011">
        <w:t>GOOD PRACTICE GUIDANCE</w:t>
      </w:r>
    </w:p>
    <w:p w:rsidR="005D0011" w:rsidRDefault="005D0011" w:rsidP="005D0011">
      <w:pPr>
        <w:pStyle w:val="NoSpacing"/>
      </w:pPr>
      <w:r w:rsidRPr="005D0011">
        <w:t xml:space="preserve">Staff receive training in good working </w:t>
      </w:r>
      <w:r w:rsidR="00193D13" w:rsidRPr="005D0011">
        <w:t>practices, which</w:t>
      </w:r>
      <w:r w:rsidRPr="005D0011">
        <w:t xml:space="preserve"> comply wit</w:t>
      </w:r>
      <w:r>
        <w:t>h Health and Safety regulations</w:t>
      </w:r>
      <w:r w:rsidR="00147839">
        <w:t xml:space="preserve">. </w:t>
      </w:r>
      <w:r>
        <w:t xml:space="preserve"> </w:t>
      </w:r>
      <w:r w:rsidR="00147839">
        <w:t xml:space="preserve"> </w:t>
      </w:r>
    </w:p>
    <w:p w:rsidR="00147839" w:rsidRPr="005D0011" w:rsidRDefault="00147839" w:rsidP="005D0011">
      <w:pPr>
        <w:pStyle w:val="NoSpacing"/>
      </w:pPr>
    </w:p>
    <w:p w:rsidR="005D0011" w:rsidRPr="005D0011" w:rsidRDefault="005D0011" w:rsidP="005D0011">
      <w:pPr>
        <w:pStyle w:val="NoSpacing"/>
      </w:pPr>
      <w:r>
        <w:t>Etchells</w:t>
      </w:r>
      <w:r w:rsidRPr="005D0011">
        <w:t xml:space="preserve"> expectations for intimate care:</w:t>
      </w:r>
    </w:p>
    <w:p w:rsidR="005D0011" w:rsidRPr="005D0011" w:rsidRDefault="005D0011" w:rsidP="00193D13">
      <w:pPr>
        <w:pStyle w:val="NoSpacing"/>
        <w:numPr>
          <w:ilvl w:val="0"/>
          <w:numId w:val="3"/>
        </w:numPr>
      </w:pPr>
      <w:r w:rsidRPr="005D0011">
        <w:t>Where a routine procedure needs to be established, there should be an agreed</w:t>
      </w:r>
      <w:r w:rsidR="00193D13">
        <w:t xml:space="preserve"> </w:t>
      </w:r>
      <w:r w:rsidRPr="005D0011">
        <w:t>Intimate/Personal Care Plan (Appendix 1) involving dis</w:t>
      </w:r>
      <w:r>
        <w:t xml:space="preserve">cussion with school, parents or </w:t>
      </w:r>
      <w:r w:rsidRPr="005D0011">
        <w:t>carers and the relevant health personnel. All parties shou</w:t>
      </w:r>
      <w:r>
        <w:t xml:space="preserve">ld sign the plan. The plan must </w:t>
      </w:r>
      <w:r w:rsidRPr="005D0011">
        <w:t>be reviewed on a regular basis. A copy is kept in the Care Plan file in the office.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Staffing levels need to be carefully considered. There is</w:t>
      </w:r>
      <w:r>
        <w:t xml:space="preserve"> a balance to be struck between </w:t>
      </w:r>
      <w:r w:rsidRPr="005D0011">
        <w:t>maintaining privacy and dignity for children/young peopl</w:t>
      </w:r>
      <w:r>
        <w:t xml:space="preserve">e alongside protection for them </w:t>
      </w:r>
      <w:r w:rsidRPr="005D0011">
        <w:t>and staff. Some procedures may require two members</w:t>
      </w:r>
      <w:r>
        <w:t xml:space="preserve"> of staff for health and safety </w:t>
      </w:r>
      <w:r w:rsidRPr="005D0011">
        <w:t>reasons e.g. manual handling. This should be clearly stated in the care plan. As far a</w:t>
      </w:r>
      <w:r>
        <w:t xml:space="preserve">s </w:t>
      </w:r>
      <w:r w:rsidRPr="005D0011">
        <w:t>possible, personal care procedures should be carried out by one person.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 xml:space="preserve">The person (people) carrying out the intimate care must be school staff, not coaches </w:t>
      </w:r>
      <w:proofErr w:type="spellStart"/>
      <w:r w:rsidRPr="005D0011">
        <w:t>etc</w:t>
      </w:r>
      <w:proofErr w:type="spellEnd"/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If a situation occurs which causes personal care st</w:t>
      </w:r>
      <w:r>
        <w:t xml:space="preserve">aff embarrassment or concern, a </w:t>
      </w:r>
      <w:r w:rsidRPr="005D0011">
        <w:t>second member of staff should be called if necessary</w:t>
      </w:r>
      <w:r>
        <w:t xml:space="preserve">, and the incident reported and </w:t>
      </w:r>
      <w:r w:rsidRPr="005D0011">
        <w:t>recorded.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When staff are concerned about a child actions or c</w:t>
      </w:r>
      <w:r>
        <w:t xml:space="preserve">omments whilst carrying out the </w:t>
      </w:r>
      <w:r w:rsidRPr="005D0011">
        <w:t>personal care procedure, this should be recorded an</w:t>
      </w:r>
      <w:r>
        <w:t xml:space="preserve">d discussed with a line manager </w:t>
      </w:r>
      <w:r w:rsidRPr="005D0011">
        <w:t>immediately.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Parents (adult collecting) to be informed at the end of the</w:t>
      </w:r>
      <w:r>
        <w:t xml:space="preserve"> day following an intimate care </w:t>
      </w:r>
      <w:r w:rsidRPr="005D0011">
        <w:t>action – they should sign the Intimate Care exerci</w:t>
      </w:r>
      <w:r>
        <w:t xml:space="preserve">se book to state they have been </w:t>
      </w:r>
      <w:r w:rsidRPr="005D0011">
        <w:t>informed (copy in office; YN and YR have their own in the classrooms</w:t>
      </w:r>
      <w:r>
        <w:t xml:space="preserve">). This will not be </w:t>
      </w:r>
      <w:r w:rsidRPr="005D0011">
        <w:t>necessary if it is a regular occurrence and an Intim</w:t>
      </w:r>
      <w:r>
        <w:t xml:space="preserve">ate/Personal Care Plan has been </w:t>
      </w:r>
      <w:r w:rsidRPr="005D0011">
        <w:t>completed.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Other practical considerations: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There should be sufficient space, heating and ventilation t</w:t>
      </w:r>
      <w:r>
        <w:t xml:space="preserve">o ensure safety and comfort for </w:t>
      </w:r>
      <w:r w:rsidRPr="005D0011">
        <w:t>staff and child/young person.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Facilities with hot and cold running water. Anti-bacterial hand wash should be available.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Items of protective clothing, such as disposable gloves and aprons should be provided.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No re-use of disposable gloves.</w:t>
      </w:r>
    </w:p>
    <w:p w:rsidR="005D0011" w:rsidRPr="005D0011" w:rsidRDefault="005D0011" w:rsidP="00147839">
      <w:pPr>
        <w:pStyle w:val="NoSpacing"/>
        <w:numPr>
          <w:ilvl w:val="0"/>
          <w:numId w:val="6"/>
        </w:numPr>
      </w:pPr>
      <w:r w:rsidRPr="005D0011">
        <w:t>Special bins should be provided for the disposal of wet and soiled nappies/pads.</w:t>
      </w:r>
    </w:p>
    <w:p w:rsidR="005D0011" w:rsidRDefault="005D0011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p w:rsidR="00147839" w:rsidRDefault="00147839" w:rsidP="005D0011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5208"/>
      </w:tblGrid>
      <w:tr w:rsidR="00147839" w:rsidTr="00815494">
        <w:tc>
          <w:tcPr>
            <w:tcW w:w="10682" w:type="dxa"/>
            <w:gridSpan w:val="2"/>
          </w:tcPr>
          <w:p w:rsidR="00147839" w:rsidRDefault="00147839" w:rsidP="00147839">
            <w:pPr>
              <w:pStyle w:val="NoSpacing"/>
              <w:jc w:val="center"/>
              <w:rPr>
                <w:b/>
                <w:sz w:val="28"/>
              </w:rPr>
            </w:pPr>
          </w:p>
          <w:p w:rsidR="00147839" w:rsidRPr="00147839" w:rsidRDefault="00147839" w:rsidP="00147839">
            <w:pPr>
              <w:pStyle w:val="NoSpacing"/>
              <w:jc w:val="center"/>
              <w:rPr>
                <w:b/>
                <w:sz w:val="28"/>
              </w:rPr>
            </w:pPr>
            <w:r w:rsidRPr="00147839">
              <w:rPr>
                <w:b/>
                <w:sz w:val="28"/>
              </w:rPr>
              <w:t>Toileting Plan</w:t>
            </w:r>
          </w:p>
          <w:p w:rsidR="00147839" w:rsidRDefault="00147839" w:rsidP="00147839">
            <w:pPr>
              <w:pStyle w:val="NoSpacing"/>
              <w:jc w:val="center"/>
              <w:rPr>
                <w:b/>
                <w:sz w:val="28"/>
              </w:rPr>
            </w:pPr>
            <w:r w:rsidRPr="00147839">
              <w:rPr>
                <w:b/>
                <w:sz w:val="28"/>
              </w:rPr>
              <w:t>Record of Discussion with Parent/Carers</w:t>
            </w:r>
            <w:r w:rsidRPr="00147839">
              <w:rPr>
                <w:b/>
                <w:sz w:val="28"/>
              </w:rPr>
              <w:cr/>
            </w:r>
          </w:p>
          <w:p w:rsidR="00147839" w:rsidRDefault="00147839" w:rsidP="00147839">
            <w:pPr>
              <w:pStyle w:val="NoSpacing"/>
              <w:jc w:val="center"/>
              <w:rPr>
                <w:b/>
                <w:sz w:val="28"/>
              </w:rPr>
            </w:pPr>
          </w:p>
        </w:tc>
      </w:tr>
      <w:tr w:rsidR="00147839" w:rsidTr="00CB706F">
        <w:tc>
          <w:tcPr>
            <w:tcW w:w="10682" w:type="dxa"/>
            <w:gridSpan w:val="2"/>
          </w:tcPr>
          <w:p w:rsidR="00147839" w:rsidRDefault="00147839" w:rsidP="00147839">
            <w:pPr>
              <w:pStyle w:val="NoSpacing"/>
              <w:rPr>
                <w:b/>
                <w:sz w:val="28"/>
              </w:rPr>
            </w:pPr>
            <w:r w:rsidRPr="00147839">
              <w:rPr>
                <w:b/>
                <w:sz w:val="28"/>
              </w:rPr>
              <w:t xml:space="preserve">Child’s Name: </w:t>
            </w: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7B59C7">
        <w:tc>
          <w:tcPr>
            <w:tcW w:w="10682" w:type="dxa"/>
            <w:gridSpan w:val="2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  <w:r w:rsidRPr="00147839">
              <w:rPr>
                <w:b/>
                <w:sz w:val="28"/>
              </w:rPr>
              <w:t>DOB:</w:t>
            </w: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147839">
        <w:tc>
          <w:tcPr>
            <w:tcW w:w="5341" w:type="dxa"/>
          </w:tcPr>
          <w:p w:rsidR="00147839" w:rsidRDefault="00147839" w:rsidP="005D0011">
            <w:pPr>
              <w:pStyle w:val="NoSpacing"/>
            </w:pPr>
            <w:r>
              <w:t>Working Towards Independence: e.g. taking child to toilet at timed intervals, using sign or symbol, any rewards used.</w:t>
            </w: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5341" w:type="dxa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147839">
        <w:tc>
          <w:tcPr>
            <w:tcW w:w="5341" w:type="dxa"/>
          </w:tcPr>
          <w:p w:rsidR="00147839" w:rsidRDefault="00147839" w:rsidP="005D0011">
            <w:pPr>
              <w:pStyle w:val="NoSpacing"/>
            </w:pPr>
            <w:r>
              <w:t>Arrangements for Nappy/pad Changing: e.g. who, where, arrangements for privacy</w:t>
            </w:r>
          </w:p>
          <w:p w:rsidR="00147839" w:rsidRDefault="00147839" w:rsidP="005D0011">
            <w:pPr>
              <w:pStyle w:val="NoSpacing"/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5341" w:type="dxa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147839">
        <w:tc>
          <w:tcPr>
            <w:tcW w:w="5341" w:type="dxa"/>
          </w:tcPr>
          <w:p w:rsidR="00147839" w:rsidRDefault="00147839" w:rsidP="005D0011">
            <w:pPr>
              <w:pStyle w:val="NoSpacing"/>
            </w:pPr>
            <w:r>
              <w:t>Level of Assistance e.g. undressing, dressing, hand washing, talking/signing to child/young person</w:t>
            </w: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5341" w:type="dxa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147839">
        <w:tc>
          <w:tcPr>
            <w:tcW w:w="5341" w:type="dxa"/>
          </w:tcPr>
          <w:p w:rsidR="00147839" w:rsidRDefault="00147839" w:rsidP="005D0011">
            <w:pPr>
              <w:pStyle w:val="NoSpacing"/>
            </w:pPr>
            <w:r>
              <w:t>Infection Control: e.g. wearing disposable gloves, nappy disposal</w:t>
            </w: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5341" w:type="dxa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147839">
        <w:tc>
          <w:tcPr>
            <w:tcW w:w="5341" w:type="dxa"/>
          </w:tcPr>
          <w:p w:rsidR="00147839" w:rsidRDefault="00147839" w:rsidP="005D0011">
            <w:pPr>
              <w:pStyle w:val="NoSpacing"/>
            </w:pPr>
            <w:r>
              <w:t>Sharing Information: e.g. if the child has a nappy rash or any marks, any family customs/cultural practice</w:t>
            </w: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5341" w:type="dxa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  <w:tr w:rsidR="00147839" w:rsidTr="00147839">
        <w:tc>
          <w:tcPr>
            <w:tcW w:w="5341" w:type="dxa"/>
          </w:tcPr>
          <w:p w:rsidR="00147839" w:rsidRDefault="00147839" w:rsidP="00147839">
            <w:pPr>
              <w:pStyle w:val="NoSpacing"/>
              <w:rPr>
                <w:b/>
                <w:sz w:val="28"/>
              </w:rPr>
            </w:pPr>
            <w:r>
              <w:t>Resources Needed: e.g. special seat, nappies/pullups, creams, disposable sacks, change of clothes, gloves</w:t>
            </w:r>
          </w:p>
          <w:p w:rsidR="00147839" w:rsidRDefault="00147839" w:rsidP="005D0011">
            <w:pPr>
              <w:pStyle w:val="NoSpacing"/>
            </w:pPr>
          </w:p>
          <w:p w:rsidR="00147839" w:rsidRDefault="00147839" w:rsidP="005D0011">
            <w:pPr>
              <w:pStyle w:val="NoSpacing"/>
            </w:pPr>
          </w:p>
          <w:p w:rsidR="00147839" w:rsidRDefault="00147839" w:rsidP="005D0011">
            <w:pPr>
              <w:pStyle w:val="NoSpacing"/>
            </w:pPr>
          </w:p>
        </w:tc>
        <w:tc>
          <w:tcPr>
            <w:tcW w:w="5341" w:type="dxa"/>
          </w:tcPr>
          <w:p w:rsidR="00147839" w:rsidRDefault="00147839" w:rsidP="005D0011">
            <w:pPr>
              <w:pStyle w:val="NoSpacing"/>
              <w:rPr>
                <w:b/>
                <w:sz w:val="28"/>
              </w:rPr>
            </w:pPr>
          </w:p>
        </w:tc>
      </w:tr>
    </w:tbl>
    <w:p w:rsidR="00147839" w:rsidRDefault="00147839" w:rsidP="005D0011">
      <w:pPr>
        <w:pStyle w:val="NoSpacing"/>
        <w:rPr>
          <w:b/>
          <w:sz w:val="28"/>
        </w:rPr>
      </w:pPr>
    </w:p>
    <w:p w:rsidR="005D0011" w:rsidRDefault="005D0011" w:rsidP="005D0011">
      <w:pPr>
        <w:pStyle w:val="NoSpacing"/>
        <w:rPr>
          <w:b/>
          <w:sz w:val="28"/>
        </w:rPr>
      </w:pPr>
    </w:p>
    <w:p w:rsidR="005D0011" w:rsidRDefault="005D0011" w:rsidP="005D0011">
      <w:pPr>
        <w:pStyle w:val="NoSpacing"/>
        <w:rPr>
          <w:b/>
          <w:sz w:val="28"/>
        </w:rPr>
      </w:pPr>
    </w:p>
    <w:p w:rsidR="00E91E17" w:rsidRDefault="00E91E17"/>
    <w:sectPr w:rsidR="00E91E17" w:rsidSect="005D0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BD3"/>
    <w:multiLevelType w:val="hybridMultilevel"/>
    <w:tmpl w:val="FB50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A3D"/>
    <w:multiLevelType w:val="hybridMultilevel"/>
    <w:tmpl w:val="72548E56"/>
    <w:lvl w:ilvl="0" w:tplc="A6429E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024"/>
    <w:multiLevelType w:val="hybridMultilevel"/>
    <w:tmpl w:val="C1964D56"/>
    <w:lvl w:ilvl="0" w:tplc="A6429E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4A5F"/>
    <w:multiLevelType w:val="hybridMultilevel"/>
    <w:tmpl w:val="D4BA91F2"/>
    <w:lvl w:ilvl="0" w:tplc="A6429E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6CC"/>
    <w:multiLevelType w:val="hybridMultilevel"/>
    <w:tmpl w:val="6178A592"/>
    <w:lvl w:ilvl="0" w:tplc="A6429EF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61A6B"/>
    <w:multiLevelType w:val="hybridMultilevel"/>
    <w:tmpl w:val="48C2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11"/>
    <w:rsid w:val="00147839"/>
    <w:rsid w:val="00193D13"/>
    <w:rsid w:val="005D0011"/>
    <w:rsid w:val="007450EA"/>
    <w:rsid w:val="00AA3785"/>
    <w:rsid w:val="00E63082"/>
    <w:rsid w:val="00E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F3626-F0C6-4321-ACCF-9910617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011"/>
    <w:pPr>
      <w:spacing w:after="0" w:line="240" w:lineRule="auto"/>
    </w:pPr>
  </w:style>
  <w:style w:type="table" w:styleId="TableGrid">
    <w:name w:val="Table Grid"/>
    <w:basedOn w:val="TableNormal"/>
    <w:uiPriority w:val="59"/>
    <w:rsid w:val="0014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93D13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93D13"/>
    <w:rPr>
      <w:rFonts w:ascii="Arial" w:eastAsia="Times New Roman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BKind</cp:lastModifiedBy>
  <cp:revision>2</cp:revision>
  <dcterms:created xsi:type="dcterms:W3CDTF">2024-09-17T12:35:00Z</dcterms:created>
  <dcterms:modified xsi:type="dcterms:W3CDTF">2024-09-17T12:35:00Z</dcterms:modified>
</cp:coreProperties>
</file>